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9933B" w14:textId="68DE2D08" w:rsidR="00F200AD" w:rsidRDefault="00F200AD">
      <w:pPr>
        <w:rPr>
          <w:sz w:val="2"/>
        </w:rPr>
      </w:pPr>
      <w:bookmarkStart w:id="0" w:name="_GoBack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6360"/>
        <w:gridCol w:w="1529"/>
      </w:tblGrid>
      <w:tr w:rsidR="00F200AD" w14:paraId="5D608B4A" w14:textId="77777777">
        <w:trPr>
          <w:trHeight w:hRule="exact" w:val="1468"/>
        </w:trPr>
        <w:tc>
          <w:tcPr>
            <w:tcW w:w="12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71FCD9" w14:textId="77777777" w:rsidR="00F200AD" w:rsidRDefault="002358AD">
            <w:pPr>
              <w:spacing w:before="3" w:after="10"/>
              <w:ind w:left="185"/>
              <w:jc w:val="right"/>
              <w:textAlignment w:val="baseline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BC5B259" wp14:editId="7A57DFB6">
                  <wp:extent cx="670560" cy="67627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FDF66F" w14:textId="77777777" w:rsidR="00F200AD" w:rsidRDefault="002358AD">
            <w:pPr>
              <w:spacing w:line="183" w:lineRule="exact"/>
              <w:ind w:right="1977"/>
              <w:jc w:val="right"/>
              <w:textAlignment w:val="baseline"/>
              <w:rPr>
                <w:rFonts w:eastAsia="Times New Roman"/>
                <w:b/>
                <w:color w:val="000000"/>
                <w:sz w:val="16"/>
                <w:lang w:val="pt-BR"/>
              </w:rPr>
            </w:pPr>
            <w:r>
              <w:rPr>
                <w:rFonts w:eastAsia="Times New Roman"/>
                <w:b/>
                <w:color w:val="000000"/>
                <w:sz w:val="16"/>
                <w:lang w:val="pt-BR"/>
              </w:rPr>
              <w:t>MINISTÉRIO DA EDUCAÇÃO</w:t>
            </w:r>
          </w:p>
          <w:p w14:paraId="68E3E5DA" w14:textId="77777777" w:rsidR="00F200AD" w:rsidRDefault="002358AD">
            <w:pPr>
              <w:spacing w:before="3" w:line="183" w:lineRule="exact"/>
              <w:ind w:left="216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lang w:val="pt-BR"/>
              </w:rPr>
            </w:pPr>
            <w:r>
              <w:rPr>
                <w:rFonts w:eastAsia="Times New Roman"/>
                <w:b/>
                <w:color w:val="000000"/>
                <w:sz w:val="16"/>
                <w:lang w:val="pt-BR"/>
              </w:rPr>
              <w:t xml:space="preserve">UNIVERSIDADE FEDERAL DE ALFENAS </w:t>
            </w:r>
            <w:r>
              <w:rPr>
                <w:rFonts w:eastAsia="Times New Roman"/>
                <w:b/>
                <w:color w:val="000000"/>
                <w:sz w:val="21"/>
                <w:lang w:val="pt-BR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6"/>
                <w:lang w:val="pt-BR"/>
              </w:rPr>
              <w:t xml:space="preserve">UNIFAL-MG </w:t>
            </w:r>
            <w:r>
              <w:rPr>
                <w:rFonts w:eastAsia="Times New Roman"/>
                <w:b/>
                <w:color w:val="000000"/>
                <w:sz w:val="16"/>
                <w:lang w:val="pt-BR"/>
              </w:rPr>
              <w:br/>
              <w:t xml:space="preserve">PRÓ-REITORIA DE PESQUISA E PÓS-GRADUAÇÃO </w:t>
            </w:r>
            <w:r>
              <w:rPr>
                <w:rFonts w:eastAsia="Times New Roman"/>
                <w:b/>
                <w:color w:val="000000"/>
                <w:sz w:val="16"/>
                <w:lang w:val="pt-BR"/>
              </w:rPr>
              <w:br/>
              <w:t>PROGRAMA DE PÓS-GRADUAÇÃO EM CIÊNCIA E ENGENHARIA DE</w:t>
            </w:r>
          </w:p>
          <w:p w14:paraId="09F5BAC2" w14:textId="77777777" w:rsidR="00F200AD" w:rsidRDefault="002358AD">
            <w:pPr>
              <w:spacing w:line="183" w:lineRule="exact"/>
              <w:ind w:right="2247"/>
              <w:jc w:val="right"/>
              <w:textAlignment w:val="baseline"/>
              <w:rPr>
                <w:rFonts w:eastAsia="Times New Roman"/>
                <w:b/>
                <w:color w:val="000000"/>
                <w:sz w:val="16"/>
                <w:lang w:val="pt-BR"/>
              </w:rPr>
            </w:pPr>
            <w:r>
              <w:rPr>
                <w:rFonts w:eastAsia="Times New Roman"/>
                <w:b/>
                <w:color w:val="000000"/>
                <w:sz w:val="16"/>
                <w:lang w:val="pt-BR"/>
              </w:rPr>
              <w:t>MATERIAIS</w:t>
            </w:r>
          </w:p>
          <w:p w14:paraId="330A60CC" w14:textId="77777777" w:rsidR="00F200AD" w:rsidRDefault="002358AD">
            <w:pPr>
              <w:spacing w:before="4" w:line="157" w:lineRule="exact"/>
              <w:ind w:right="1797"/>
              <w:jc w:val="right"/>
              <w:textAlignment w:val="baseline"/>
              <w:rPr>
                <w:rFonts w:eastAsia="Times New Roman"/>
                <w:color w:val="000000"/>
                <w:sz w:val="14"/>
                <w:lang w:val="pt-BR"/>
              </w:rPr>
            </w:pPr>
            <w:r>
              <w:rPr>
                <w:rFonts w:eastAsia="Times New Roman"/>
                <w:color w:val="000000"/>
                <w:sz w:val="14"/>
                <w:lang w:val="pt-BR"/>
              </w:rPr>
              <w:t>Rodovia José Aurélio Vilela, 11.999, Km 533</w:t>
            </w:r>
          </w:p>
          <w:p w14:paraId="30302E0E" w14:textId="77777777" w:rsidR="00F200AD" w:rsidRDefault="002358AD">
            <w:pPr>
              <w:spacing w:after="7" w:line="176" w:lineRule="exact"/>
              <w:ind w:left="216"/>
              <w:jc w:val="center"/>
              <w:textAlignment w:val="baseline"/>
              <w:rPr>
                <w:rFonts w:eastAsia="Times New Roman"/>
                <w:color w:val="000000"/>
                <w:sz w:val="14"/>
                <w:lang w:val="pt-BR"/>
              </w:rPr>
            </w:pPr>
            <w:r>
              <w:rPr>
                <w:rFonts w:eastAsia="Times New Roman"/>
                <w:color w:val="000000"/>
                <w:sz w:val="14"/>
                <w:lang w:val="pt-BR"/>
              </w:rPr>
              <w:t xml:space="preserve">Cidade Universitária </w:t>
            </w:r>
            <w:r>
              <w:rPr>
                <w:rFonts w:eastAsia="Times New Roman"/>
                <w:color w:val="000000"/>
                <w:sz w:val="21"/>
                <w:lang w:val="pt-BR"/>
              </w:rPr>
              <w:t xml:space="preserve">– </w:t>
            </w:r>
            <w:r>
              <w:rPr>
                <w:rFonts w:eastAsia="Times New Roman"/>
                <w:color w:val="000000"/>
                <w:sz w:val="14"/>
                <w:lang w:val="pt-BR"/>
              </w:rPr>
              <w:t xml:space="preserve">Campus Avançado de Poços de Caldas </w:t>
            </w:r>
            <w:r>
              <w:rPr>
                <w:rFonts w:eastAsia="Times New Roman"/>
                <w:color w:val="000000"/>
                <w:sz w:val="14"/>
                <w:lang w:val="pt-BR"/>
              </w:rPr>
              <w:br/>
            </w:r>
            <w:r>
              <w:rPr>
                <w:rFonts w:eastAsia="Times New Roman"/>
                <w:color w:val="000000"/>
                <w:sz w:val="16"/>
                <w:lang w:val="pt-BR"/>
              </w:rPr>
              <w:t>Fone (35)3697-4617</w:t>
            </w:r>
          </w:p>
        </w:tc>
        <w:tc>
          <w:tcPr>
            <w:tcW w:w="1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638E8D" w14:textId="77777777" w:rsidR="00F200AD" w:rsidRDefault="002358AD">
            <w:pPr>
              <w:spacing w:before="3" w:after="10"/>
              <w:ind w:right="113"/>
              <w:textAlignment w:val="baseline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82E5217" wp14:editId="440FF154">
                  <wp:extent cx="899160" cy="70739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CC8E71" w14:textId="77777777" w:rsidR="00F200AD" w:rsidRDefault="00F200AD">
      <w:pPr>
        <w:spacing w:after="304" w:line="20" w:lineRule="exact"/>
      </w:pPr>
    </w:p>
    <w:p w14:paraId="56764462" w14:textId="1B084E23" w:rsidR="000E20CD" w:rsidRDefault="000E20CD">
      <w:pPr>
        <w:spacing w:after="394" w:line="395" w:lineRule="exact"/>
        <w:ind w:left="360"/>
        <w:jc w:val="center"/>
        <w:textAlignment w:val="baseline"/>
      </w:pPr>
      <w:proofErr w:type="spellStart"/>
      <w:r>
        <w:t>Planilha</w:t>
      </w:r>
      <w:proofErr w:type="spellEnd"/>
      <w:r>
        <w:t xml:space="preserve"> </w:t>
      </w:r>
      <w:proofErr w:type="spellStart"/>
      <w:r>
        <w:t>Editável</w:t>
      </w:r>
      <w:proofErr w:type="spellEnd"/>
      <w:r>
        <w:t xml:space="preserve"> – </w:t>
      </w:r>
      <w:proofErr w:type="spellStart"/>
      <w:r>
        <w:t>Anexo</w:t>
      </w:r>
      <w:proofErr w:type="spellEnd"/>
      <w:r>
        <w:t xml:space="preserve"> II</w:t>
      </w:r>
    </w:p>
    <w:p w14:paraId="15417D97" w14:textId="5BF35B29" w:rsidR="000E20CD" w:rsidRPr="00CC4CE7" w:rsidRDefault="000E20CD">
      <w:pPr>
        <w:spacing w:after="394" w:line="395" w:lineRule="exact"/>
        <w:ind w:left="360"/>
        <w:jc w:val="center"/>
        <w:textAlignment w:val="baseline"/>
        <w:rPr>
          <w:lang w:val="pt-BR"/>
        </w:rPr>
      </w:pPr>
      <w:r w:rsidRPr="00CC4CE7">
        <w:rPr>
          <w:lang w:val="pt-BR"/>
        </w:rPr>
        <w:t xml:space="preserve">O Candidato poderá </w:t>
      </w:r>
      <w:r w:rsidRPr="000E20CD">
        <w:rPr>
          <w:lang w:val="pt-BR"/>
        </w:rPr>
        <w:t>utilizar</w:t>
      </w:r>
      <w:r w:rsidRPr="00CC4CE7">
        <w:rPr>
          <w:lang w:val="pt-BR"/>
        </w:rPr>
        <w:t xml:space="preserve"> e</w:t>
      </w:r>
      <w:r>
        <w:rPr>
          <w:lang w:val="pt-BR"/>
        </w:rPr>
        <w:t>sta planilha editável para apresentar as suas pontuações para Avaliação do Currículo Lattes ou poderá construir uma própria, considerando os mesmos itens. É importante organizar os documentos na ordem em que se encontram as atividades nesta planilha. O documento final deverá ser salvo em pdf e enviado juntamente aos documentos digitalizados.</w:t>
      </w:r>
    </w:p>
    <w:p w14:paraId="543480E5" w14:textId="77777777" w:rsidR="000E20CD" w:rsidRPr="00CC4CE7" w:rsidRDefault="000E20CD" w:rsidP="002C7280">
      <w:pPr>
        <w:spacing w:line="360" w:lineRule="auto"/>
        <w:rPr>
          <w:lang w:val="pt-BR"/>
        </w:rPr>
      </w:pPr>
    </w:p>
    <w:p w14:paraId="7B600762" w14:textId="3609C41D" w:rsidR="00F200AD" w:rsidRDefault="002358AD">
      <w:pPr>
        <w:spacing w:after="394" w:line="395" w:lineRule="exact"/>
        <w:ind w:left="360"/>
        <w:jc w:val="center"/>
        <w:textAlignment w:val="baseline"/>
        <w:rPr>
          <w:rFonts w:eastAsia="Times New Roman"/>
          <w:b/>
          <w:color w:val="000000"/>
          <w:sz w:val="24"/>
          <w:u w:val="single"/>
          <w:lang w:val="pt-BR"/>
        </w:rPr>
      </w:pPr>
      <w:r>
        <w:rPr>
          <w:rFonts w:eastAsia="Times New Roman"/>
          <w:b/>
          <w:color w:val="000000"/>
          <w:sz w:val="24"/>
          <w:u w:val="single"/>
          <w:lang w:val="pt-BR"/>
        </w:rPr>
        <w:t xml:space="preserve">ANEXO </w:t>
      </w:r>
      <w:r w:rsidRPr="005C3C31">
        <w:rPr>
          <w:rFonts w:eastAsia="Times New Roman"/>
          <w:b/>
          <w:color w:val="000000"/>
          <w:sz w:val="24"/>
          <w:u w:val="single"/>
          <w:lang w:val="pt-BR"/>
        </w:rPr>
        <w:t xml:space="preserve">II </w:t>
      </w:r>
      <w:r w:rsidRPr="005C3C31">
        <w:rPr>
          <w:rFonts w:eastAsia="Times New Roman"/>
          <w:b/>
          <w:color w:val="000000"/>
          <w:w w:val="75"/>
          <w:sz w:val="28"/>
          <w:u w:val="single"/>
          <w:lang w:val="pt-BR"/>
        </w:rPr>
        <w:t xml:space="preserve">– </w:t>
      </w:r>
      <w:r>
        <w:rPr>
          <w:rFonts w:eastAsia="Times New Roman"/>
          <w:b/>
          <w:color w:val="000000"/>
          <w:sz w:val="24"/>
          <w:u w:val="single"/>
          <w:lang w:val="pt-BR"/>
        </w:rPr>
        <w:t xml:space="preserve">CRITÉRIOS </w:t>
      </w:r>
      <w:r w:rsidRPr="005C3C31">
        <w:rPr>
          <w:rFonts w:eastAsia="Times New Roman"/>
          <w:b/>
          <w:color w:val="000000"/>
          <w:sz w:val="24"/>
          <w:u w:val="single"/>
          <w:lang w:val="pt-BR"/>
        </w:rPr>
        <w:t xml:space="preserve">DE </w:t>
      </w:r>
      <w:r>
        <w:rPr>
          <w:rFonts w:eastAsia="Times New Roman"/>
          <w:b/>
          <w:color w:val="000000"/>
          <w:sz w:val="24"/>
          <w:u w:val="single"/>
          <w:lang w:val="pt-BR"/>
        </w:rPr>
        <w:t xml:space="preserve">AVALIAÇÃO </w:t>
      </w:r>
      <w:r w:rsidRPr="005C3C31">
        <w:rPr>
          <w:rFonts w:eastAsia="Times New Roman"/>
          <w:b/>
          <w:color w:val="000000"/>
          <w:sz w:val="24"/>
          <w:u w:val="single"/>
          <w:lang w:val="pt-BR"/>
        </w:rPr>
        <w:t xml:space="preserve">DO </w:t>
      </w:r>
      <w:r>
        <w:rPr>
          <w:rFonts w:eastAsia="Times New Roman"/>
          <w:b/>
          <w:color w:val="000000"/>
          <w:sz w:val="24"/>
          <w:u w:val="single"/>
          <w:lang w:val="pt-BR"/>
        </w:rPr>
        <w:t xml:space="preserve">CURRÍCULO </w:t>
      </w:r>
      <w:r w:rsidRPr="005C3C31">
        <w:rPr>
          <w:rFonts w:eastAsia="Times New Roman"/>
          <w:b/>
          <w:color w:val="000000"/>
          <w:sz w:val="24"/>
          <w:u w:val="single"/>
          <w:lang w:val="pt-BR"/>
        </w:rPr>
        <w:t xml:space="preserve">LATTES </w:t>
      </w:r>
      <w:r>
        <w:rPr>
          <w:rFonts w:eastAsia="Times New Roman"/>
          <w:b/>
          <w:color w:val="000000"/>
          <w:sz w:val="24"/>
          <w:u w:val="single"/>
          <w:lang w:val="pt-BR"/>
        </w:rPr>
        <w:t xml:space="preserve">(OU  </w:t>
      </w:r>
      <w:r>
        <w:rPr>
          <w:rFonts w:eastAsia="Times New Roman"/>
          <w:b/>
          <w:color w:val="000000"/>
          <w:sz w:val="24"/>
          <w:u w:val="single"/>
          <w:lang w:val="pt-BR"/>
        </w:rPr>
        <w:br/>
      </w:r>
      <w:r w:rsidRPr="005C3C31">
        <w:rPr>
          <w:rFonts w:eastAsia="Times New Roman"/>
          <w:b/>
          <w:i/>
          <w:color w:val="000000"/>
          <w:sz w:val="24"/>
          <w:u w:val="single"/>
          <w:lang w:val="pt-BR"/>
        </w:rPr>
        <w:t xml:space="preserve">CURRICULUM VITAE </w:t>
      </w:r>
      <w:r>
        <w:rPr>
          <w:rFonts w:eastAsia="Times New Roman"/>
          <w:b/>
          <w:color w:val="000000"/>
          <w:sz w:val="24"/>
          <w:u w:val="single"/>
          <w:lang w:val="pt-BR"/>
        </w:rPr>
        <w:t xml:space="preserve">PARA ESTRANGEIROS) </w:t>
      </w:r>
    </w:p>
    <w:p w14:paraId="2E0843A6" w14:textId="1473DCFC" w:rsidR="00F200AD" w:rsidRDefault="002358AD">
      <w:pPr>
        <w:spacing w:line="277" w:lineRule="exact"/>
        <w:ind w:left="144"/>
        <w:textAlignment w:val="baseline"/>
        <w:rPr>
          <w:rFonts w:eastAsia="Times New Roman"/>
          <w:color w:val="000000"/>
          <w:sz w:val="24"/>
          <w:lang w:val="pt-BR"/>
        </w:rPr>
      </w:pPr>
      <w:r>
        <w:rPr>
          <w:rFonts w:eastAsia="Times New Roman"/>
          <w:color w:val="000000"/>
          <w:sz w:val="24"/>
          <w:lang w:val="pt-BR"/>
        </w:rPr>
        <w:t xml:space="preserve">Na avaliação do </w:t>
      </w:r>
      <w:r>
        <w:rPr>
          <w:rFonts w:eastAsia="Times New Roman"/>
          <w:i/>
          <w:color w:val="000000"/>
          <w:sz w:val="24"/>
          <w:lang w:val="pt-BR"/>
        </w:rPr>
        <w:t xml:space="preserve">curriculum </w:t>
      </w:r>
      <w:r>
        <w:rPr>
          <w:rFonts w:eastAsia="Times New Roman"/>
          <w:color w:val="000000"/>
          <w:sz w:val="24"/>
          <w:lang w:val="pt-BR"/>
        </w:rPr>
        <w:t>serão atribuídos os seguintes pontos para as atividades abaixo:</w:t>
      </w:r>
    </w:p>
    <w:p w14:paraId="3BF15BFB" w14:textId="77777777" w:rsidR="004E1451" w:rsidRDefault="004E1451">
      <w:pPr>
        <w:spacing w:line="277" w:lineRule="exact"/>
        <w:ind w:left="144"/>
        <w:textAlignment w:val="baseline"/>
        <w:rPr>
          <w:rFonts w:eastAsia="Times New Roman"/>
          <w:color w:val="000000"/>
          <w:sz w:val="24"/>
          <w:lang w:val="pt-BR"/>
        </w:rPr>
      </w:pPr>
    </w:p>
    <w:tbl>
      <w:tblPr>
        <w:tblW w:w="10640" w:type="dxa"/>
        <w:tblInd w:w="-1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8"/>
        <w:gridCol w:w="3402"/>
        <w:gridCol w:w="2540"/>
      </w:tblGrid>
      <w:tr w:rsidR="000E20CD" w:rsidRPr="000E20CD" w14:paraId="48E8E123" w14:textId="77777777" w:rsidTr="00CC4CE7">
        <w:trPr>
          <w:trHeight w:hRule="exact" w:val="560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89486" w14:textId="77777777" w:rsidR="000E20CD" w:rsidRPr="00C07C71" w:rsidRDefault="000E20CD" w:rsidP="000E20CD">
            <w:pPr>
              <w:spacing w:after="273" w:line="269" w:lineRule="exact"/>
              <w:jc w:val="center"/>
              <w:textAlignment w:val="baseline"/>
              <w:rPr>
                <w:rFonts w:eastAsia="Times New Roman"/>
                <w:b/>
                <w:color w:val="000000" w:themeColor="text1"/>
                <w:sz w:val="24"/>
                <w:lang w:val="pt-BR"/>
              </w:rPr>
            </w:pPr>
            <w:r w:rsidRPr="00C07C71">
              <w:rPr>
                <w:rFonts w:eastAsia="Times New Roman"/>
                <w:b/>
                <w:color w:val="000000" w:themeColor="text1"/>
                <w:sz w:val="24"/>
                <w:lang w:val="pt-BR"/>
              </w:rPr>
              <w:t>Atividade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0F343" w14:textId="51FC729C" w:rsidR="000E20CD" w:rsidRPr="00C07C71" w:rsidRDefault="000E20CD" w:rsidP="000E20CD">
            <w:pPr>
              <w:spacing w:after="273" w:line="269" w:lineRule="exact"/>
              <w:jc w:val="center"/>
              <w:textAlignment w:val="baseline"/>
              <w:rPr>
                <w:rFonts w:eastAsia="Times New Roman"/>
                <w:b/>
                <w:color w:val="000000" w:themeColor="text1"/>
                <w:spacing w:val="-1"/>
                <w:sz w:val="24"/>
                <w:lang w:val="pt-BR"/>
              </w:rPr>
            </w:pPr>
            <w:r w:rsidRPr="00C07C71">
              <w:rPr>
                <w:rFonts w:eastAsia="Times New Roman"/>
                <w:b/>
                <w:color w:val="000000" w:themeColor="text1"/>
                <w:spacing w:val="-1"/>
                <w:sz w:val="24"/>
                <w:lang w:val="pt-BR"/>
              </w:rPr>
              <w:t>Pontuação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2F6D6" w14:textId="1861A97E" w:rsidR="000E20CD" w:rsidRPr="00C07C71" w:rsidRDefault="000E20CD" w:rsidP="000E20CD">
            <w:pPr>
              <w:spacing w:after="273" w:line="269" w:lineRule="exact"/>
              <w:jc w:val="center"/>
              <w:textAlignment w:val="baseline"/>
              <w:rPr>
                <w:rFonts w:eastAsia="Times New Roman"/>
                <w:b/>
                <w:color w:val="000000" w:themeColor="text1"/>
                <w:spacing w:val="-1"/>
                <w:sz w:val="24"/>
                <w:lang w:val="pt-BR"/>
              </w:rPr>
            </w:pPr>
            <w:r>
              <w:rPr>
                <w:rFonts w:eastAsia="Times New Roman"/>
                <w:b/>
                <w:color w:val="000000" w:themeColor="text1"/>
                <w:spacing w:val="-1"/>
                <w:sz w:val="24"/>
                <w:lang w:val="pt-BR"/>
              </w:rPr>
              <w:t>Pontuação Obtida neste item pelo candidato</w:t>
            </w:r>
          </w:p>
        </w:tc>
      </w:tr>
      <w:tr w:rsidR="000E20CD" w:rsidRPr="000E20CD" w14:paraId="2AF8F93B" w14:textId="77777777" w:rsidTr="00CC4CE7">
        <w:trPr>
          <w:trHeight w:hRule="exact" w:val="952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1DDDF" w14:textId="4D293132" w:rsidR="000E20CD" w:rsidRPr="006B44CC" w:rsidRDefault="000E20CD" w:rsidP="000E20CD">
            <w:pPr>
              <w:ind w:left="170" w:right="113" w:hanging="113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 w:rsidRPr="006B44CC">
              <w:rPr>
                <w:rFonts w:eastAsia="Times New Roman"/>
                <w:color w:val="000000" w:themeColor="text1"/>
                <w:sz w:val="24"/>
                <w:lang w:val="pt-BR"/>
              </w:rPr>
              <w:t>1. Artigos publicados em periódicos (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a partir de 2015)</w:t>
            </w:r>
            <w:r w:rsidRPr="006B44CC">
              <w:rPr>
                <w:rFonts w:eastAsia="Times New Roman"/>
                <w:color w:val="000000" w:themeColor="text1"/>
                <w:sz w:val="24"/>
                <w:lang w:val="pt-BR"/>
              </w:rPr>
              <w:t>, ou aceitos para publicação em revistas científicas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87BB6" w14:textId="5CC5A350" w:rsidR="000E20CD" w:rsidRPr="00C07C71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5,0 pontos/artigo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(internacional); 3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,0 pontos/artigo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(nacional)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8272E" w14:textId="772130C2" w:rsidR="000E20CD" w:rsidRPr="00C07C71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</w:p>
        </w:tc>
      </w:tr>
      <w:tr w:rsidR="000E20CD" w:rsidRPr="000E20CD" w14:paraId="148DF415" w14:textId="77777777" w:rsidTr="00CC4CE7">
        <w:trPr>
          <w:trHeight w:hRule="exact" w:val="974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1DE2" w14:textId="77777777" w:rsidR="000E20CD" w:rsidRPr="00C07C71" w:rsidRDefault="000E20CD" w:rsidP="000E20CD">
            <w:pPr>
              <w:ind w:left="170" w:right="113" w:hanging="113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2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. Artigos publicados 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em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per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iódicos 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(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a partir de 2015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), ou aceitos para publicação em revistas tecnológicas e de extensão.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0E566" w14:textId="25170955" w:rsidR="000E20CD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3,0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pontos/artigo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6D930" w14:textId="108ECB10" w:rsidR="000E20CD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</w:p>
        </w:tc>
      </w:tr>
      <w:tr w:rsidR="000E20CD" w:rsidRPr="000E20CD" w14:paraId="3D5DF02E" w14:textId="77777777" w:rsidTr="00CC4CE7">
        <w:trPr>
          <w:trHeight w:hRule="exact" w:val="853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99456" w14:textId="77777777" w:rsidR="000E20CD" w:rsidRPr="00C07C71" w:rsidRDefault="000E20CD" w:rsidP="000E20CD">
            <w:pPr>
              <w:ind w:left="170" w:right="113" w:hanging="113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3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. Artigos publicados em Anais de eventos 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científicos (a partir de 2015) - somente 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trabalhos completos.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563D8" w14:textId="7FCDD07A" w:rsidR="000E20CD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2,5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pontos/artigo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(internacional); 1,5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pontos/artigo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(nacional) 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2D154" w14:textId="103D69ED" w:rsidR="000E20CD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</w:p>
        </w:tc>
      </w:tr>
      <w:tr w:rsidR="000E20CD" w:rsidRPr="000E20CD" w14:paraId="41C39FFF" w14:textId="77777777" w:rsidTr="00CC4CE7">
        <w:trPr>
          <w:trHeight w:hRule="exact" w:val="1656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3E3FC" w14:textId="77777777" w:rsidR="000E20CD" w:rsidRPr="00C07C71" w:rsidRDefault="000E20CD" w:rsidP="000E20CD">
            <w:pPr>
              <w:ind w:left="170" w:right="113" w:hanging="113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4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. Atividades profissionais (aulas ministradas, trabalho em empresas, estágios etc)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a partir de 2015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.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Essas atividades deverão ser 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comprovadas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por meio de certificados, contratos ou carteira profissional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DE2B0" w14:textId="15C3C6EB" w:rsidR="000E20CD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1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,0 pontos/semestre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(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Max. de 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6,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0 pontos)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BDB38" w14:textId="12A41888" w:rsidR="000E20CD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</w:p>
        </w:tc>
      </w:tr>
      <w:tr w:rsidR="000E20CD" w:rsidRPr="000E20CD" w14:paraId="722B0E3C" w14:textId="77777777" w:rsidTr="00CC4CE7">
        <w:trPr>
          <w:trHeight w:hRule="exact" w:val="1566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DDFC5" w14:textId="77777777" w:rsidR="000E20CD" w:rsidRPr="00C07C71" w:rsidRDefault="000E20CD" w:rsidP="000E20CD">
            <w:pPr>
              <w:pStyle w:val="PargrafodaLista"/>
              <w:tabs>
                <w:tab w:val="decimal" w:pos="504"/>
                <w:tab w:val="decimal" w:pos="576"/>
              </w:tabs>
              <w:ind w:left="170" w:right="113" w:hanging="113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5. 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Apresentação (oral ou pôster) de trabalhos em evento, no período (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a partir de 2015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). Comprovação fornecida por órgãos competentes. Não será computado o certificado de participação no evento.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2DCBF" w14:textId="77777777" w:rsidR="000E20CD" w:rsidRPr="00C07C71" w:rsidRDefault="000E20CD" w:rsidP="000E20CD">
            <w:pPr>
              <w:tabs>
                <w:tab w:val="right" w:pos="2880"/>
              </w:tabs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1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,5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pontos/apresentação</w:t>
            </w:r>
          </w:p>
          <w:p w14:paraId="3FD5A281" w14:textId="72CB47C7" w:rsidR="000E20CD" w:rsidRDefault="000E20CD" w:rsidP="000E20CD">
            <w:pPr>
              <w:tabs>
                <w:tab w:val="right" w:pos="2880"/>
              </w:tabs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(Max. de 1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2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,0 pontos)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0B826" w14:textId="12FE4625" w:rsidR="000E20CD" w:rsidRDefault="000E20CD" w:rsidP="000E20CD">
            <w:pPr>
              <w:tabs>
                <w:tab w:val="right" w:pos="2880"/>
              </w:tabs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</w:p>
        </w:tc>
      </w:tr>
      <w:tr w:rsidR="000E20CD" w:rsidRPr="000E20CD" w14:paraId="34FFC870" w14:textId="77777777" w:rsidTr="00CC4CE7">
        <w:trPr>
          <w:trHeight w:hRule="exact" w:val="1291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E03D0" w14:textId="77777777" w:rsidR="000E20CD" w:rsidRDefault="000E20CD" w:rsidP="000E20CD">
            <w:pPr>
              <w:pStyle w:val="PargrafodaLista"/>
              <w:tabs>
                <w:tab w:val="decimal" w:pos="504"/>
                <w:tab w:val="decimal" w:pos="576"/>
              </w:tabs>
              <w:ind w:left="170" w:right="113" w:hanging="113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6. 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Participação em evento sem apresentação de trabalho, no período (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a partir de 2015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). Comprovação fornecida por órgãos competentes.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C5195" w14:textId="7B8D8690" w:rsidR="000E20CD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0,5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ponto/evento (Max. de 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6,0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pontos)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89F96" w14:textId="01C7F706" w:rsidR="000E20CD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</w:p>
        </w:tc>
      </w:tr>
      <w:tr w:rsidR="000E20CD" w:rsidRPr="000E20CD" w14:paraId="1E28FC51" w14:textId="77777777" w:rsidTr="00CC4CE7">
        <w:trPr>
          <w:trHeight w:hRule="exact" w:val="1266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4BCDD" w14:textId="6C2D5E50" w:rsidR="000E20CD" w:rsidRDefault="000E20CD" w:rsidP="000E20CD">
            <w:pPr>
              <w:pStyle w:val="PargrafodaLista"/>
              <w:tabs>
                <w:tab w:val="decimal" w:pos="504"/>
                <w:tab w:val="decimal" w:pos="576"/>
              </w:tabs>
              <w:ind w:left="170" w:right="113" w:hanging="113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 w:rsidRPr="006B44CC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7. Iniciação científica concluída no período 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com bolsa </w:t>
            </w:r>
            <w:r w:rsidRPr="006B44CC">
              <w:rPr>
                <w:rFonts w:eastAsia="Times New Roman"/>
                <w:color w:val="000000" w:themeColor="text1"/>
                <w:sz w:val="24"/>
                <w:lang w:val="pt-BR"/>
              </w:rPr>
              <w:t>(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a partir de 2015</w:t>
            </w:r>
            <w:r w:rsidRPr="006B44CC">
              <w:rPr>
                <w:rFonts w:eastAsia="Times New Roman"/>
                <w:color w:val="000000" w:themeColor="text1"/>
                <w:sz w:val="24"/>
                <w:lang w:val="pt-BR"/>
              </w:rPr>
              <w:t>)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.</w:t>
            </w:r>
            <w:r w:rsidRPr="006B44CC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Comprovação fornecida por órgãos competentes.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(mínimo 4 meses)</w:t>
            </w:r>
          </w:p>
          <w:p w14:paraId="1C74523E" w14:textId="6402BD4A" w:rsidR="000E20CD" w:rsidRPr="006B44CC" w:rsidRDefault="000E20CD" w:rsidP="000E20CD">
            <w:pPr>
              <w:pStyle w:val="PargrafodaLista"/>
              <w:tabs>
                <w:tab w:val="decimal" w:pos="504"/>
                <w:tab w:val="decimal" w:pos="576"/>
              </w:tabs>
              <w:ind w:left="170" w:right="113" w:hanging="113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42E44" w14:textId="7F704A74" w:rsidR="000E20CD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2,0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ponto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s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/semestre (Max. de 6,0 pontos)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9E867" w14:textId="43B2A802" w:rsidR="000E20CD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</w:p>
        </w:tc>
      </w:tr>
      <w:tr w:rsidR="000E20CD" w:rsidRPr="000E20CD" w14:paraId="16792CCA" w14:textId="77777777" w:rsidTr="00CC4CE7">
        <w:trPr>
          <w:trHeight w:hRule="exact" w:val="1412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93D90" w14:textId="0AA11309" w:rsidR="000E20CD" w:rsidRPr="006B44CC" w:rsidRDefault="000E20CD" w:rsidP="000E20CD">
            <w:pPr>
              <w:pStyle w:val="PargrafodaLista"/>
              <w:tabs>
                <w:tab w:val="decimal" w:pos="504"/>
                <w:tab w:val="decimal" w:pos="576"/>
              </w:tabs>
              <w:ind w:left="170" w:right="113" w:hanging="113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>
              <w:rPr>
                <w:rFonts w:eastAsia="Times New Roman"/>
                <w:color w:val="000000" w:themeColor="text1"/>
                <w:sz w:val="24"/>
                <w:lang w:val="pt-BR"/>
              </w:rPr>
              <w:lastRenderedPageBreak/>
              <w:t>8</w:t>
            </w:r>
            <w:r w:rsidRPr="006B44CC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. Iniciação científica concluída no período 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sem bolsa </w:t>
            </w:r>
            <w:r w:rsidRPr="006B44CC">
              <w:rPr>
                <w:rFonts w:eastAsia="Times New Roman"/>
                <w:color w:val="000000" w:themeColor="text1"/>
                <w:sz w:val="24"/>
                <w:lang w:val="pt-BR"/>
              </w:rPr>
              <w:t>(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a partir de 2015</w:t>
            </w:r>
            <w:r w:rsidRPr="006B44CC">
              <w:rPr>
                <w:rFonts w:eastAsia="Times New Roman"/>
                <w:color w:val="000000" w:themeColor="text1"/>
                <w:sz w:val="24"/>
                <w:lang w:val="pt-BR"/>
              </w:rPr>
              <w:t>)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.</w:t>
            </w:r>
            <w:r w:rsidRPr="006B44CC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Comprovação fornecida por órgãos competentes.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(mínimo 4 meses)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3822A" w14:textId="11E545FF" w:rsidR="000E20CD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1,0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ponto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s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/semestre (Max. de 6,0 pontos)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1D5B8" w14:textId="47CFC2DD" w:rsidR="000E20CD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</w:p>
        </w:tc>
      </w:tr>
      <w:tr w:rsidR="000E20CD" w:rsidRPr="000E20CD" w14:paraId="7447E12B" w14:textId="77777777" w:rsidTr="00CC4CE7">
        <w:trPr>
          <w:trHeight w:hRule="exact" w:val="853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7F529" w14:textId="721D4CBE" w:rsidR="000E20CD" w:rsidRPr="00C07C71" w:rsidRDefault="000E20CD" w:rsidP="000E20CD">
            <w:pPr>
              <w:tabs>
                <w:tab w:val="decimal" w:pos="504"/>
                <w:tab w:val="decimal" w:pos="576"/>
                <w:tab w:val="left" w:pos="1728"/>
                <w:tab w:val="left" w:pos="2952"/>
                <w:tab w:val="left" w:pos="3456"/>
                <w:tab w:val="right" w:pos="5688"/>
              </w:tabs>
              <w:ind w:left="170" w:right="113" w:hanging="113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9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. Monitoria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ab/>
              <w:t>concluída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ab/>
              <w:t>no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ab/>
              <w:t>período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ab/>
              <w:t>(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a partir de 2015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) </w:t>
            </w:r>
            <w:r w:rsidRPr="006B44CC">
              <w:rPr>
                <w:rFonts w:eastAsia="Times New Roman"/>
                <w:color w:val="000000" w:themeColor="text1"/>
                <w:sz w:val="24"/>
                <w:lang w:val="pt-BR"/>
              </w:rPr>
              <w:t>com bolsa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. Comprovação fornecida por órgãos</w:t>
            </w:r>
            <w:r w:rsidRPr="006B44CC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competentes.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74C9A" w14:textId="23BAF2DF" w:rsidR="000E20CD" w:rsidRPr="00C07C71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1,0 ponto/semestre (Max. de 4,0 pontos)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9F62B" w14:textId="52552B9F" w:rsidR="000E20CD" w:rsidRPr="00C07C71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</w:p>
        </w:tc>
      </w:tr>
      <w:tr w:rsidR="000E20CD" w:rsidRPr="000E20CD" w14:paraId="379C404E" w14:textId="77777777" w:rsidTr="00CC4CE7">
        <w:trPr>
          <w:trHeight w:hRule="exact" w:val="977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624B6" w14:textId="2E71EFA1" w:rsidR="000E20CD" w:rsidRPr="00C07C71" w:rsidRDefault="000E20CD" w:rsidP="000E20CD">
            <w:pPr>
              <w:tabs>
                <w:tab w:val="decimal" w:pos="504"/>
                <w:tab w:val="decimal" w:pos="576"/>
                <w:tab w:val="left" w:pos="1728"/>
                <w:tab w:val="left" w:pos="2952"/>
                <w:tab w:val="left" w:pos="3456"/>
                <w:tab w:val="right" w:pos="5688"/>
              </w:tabs>
              <w:ind w:left="170" w:right="113" w:hanging="113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10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. Monitoria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ab/>
              <w:t>concluída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ab/>
              <w:t>no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ab/>
              <w:t>período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ab/>
              <w:t>(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a partir de 2015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) </w:t>
            </w:r>
            <w:r w:rsidRPr="006B44CC">
              <w:rPr>
                <w:rFonts w:eastAsia="Times New Roman"/>
                <w:color w:val="000000" w:themeColor="text1"/>
                <w:sz w:val="24"/>
                <w:lang w:val="pt-BR"/>
              </w:rPr>
              <w:t>sem bolsa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. Comprovação fornecida por órgãos</w:t>
            </w:r>
            <w:r w:rsidRPr="006B44CC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competentes.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363C9" w14:textId="5604276F" w:rsidR="000E20CD" w:rsidRPr="00C07C71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0,5 ponto/semestre (Max. de 2,0 pontos)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E09C0" w14:textId="03C2819F" w:rsidR="000E20CD" w:rsidRPr="00C07C71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</w:p>
        </w:tc>
      </w:tr>
      <w:tr w:rsidR="000E20CD" w:rsidRPr="000E20CD" w14:paraId="1F44F9FB" w14:textId="77777777" w:rsidTr="00CC4CE7">
        <w:trPr>
          <w:trHeight w:hRule="exact" w:val="981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BB25A" w14:textId="77777777" w:rsidR="000E20CD" w:rsidRDefault="000E20CD" w:rsidP="000E20CD">
            <w:pPr>
              <w:tabs>
                <w:tab w:val="decimal" w:pos="504"/>
                <w:tab w:val="decimal" w:pos="576"/>
                <w:tab w:val="left" w:pos="1728"/>
                <w:tab w:val="left" w:pos="2952"/>
                <w:tab w:val="left" w:pos="3456"/>
                <w:tab w:val="right" w:pos="5688"/>
              </w:tabs>
              <w:ind w:left="170" w:right="113" w:hanging="113"/>
              <w:jc w:val="both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10. Cursos de aperfeiçoamento ou extensão na grande área das Engenharias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(a partir de 2015)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. Comprovação fornecida por órgãos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</w:t>
            </w:r>
            <w:r w:rsidRPr="006B44CC">
              <w:rPr>
                <w:rFonts w:eastAsia="Times New Roman"/>
                <w:color w:val="000000" w:themeColor="text1"/>
                <w:sz w:val="24"/>
                <w:lang w:val="pt-BR"/>
              </w:rPr>
              <w:t>competentes.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BCE6C" w14:textId="78699FAB" w:rsidR="000E20CD" w:rsidRPr="00C07C71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0,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2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 xml:space="preserve"> ponto/semestre (Max. de </w:t>
            </w:r>
            <w:r>
              <w:rPr>
                <w:rFonts w:eastAsia="Times New Roman"/>
                <w:color w:val="000000" w:themeColor="text1"/>
                <w:sz w:val="24"/>
                <w:lang w:val="pt-BR"/>
              </w:rPr>
              <w:t>1</w:t>
            </w:r>
            <w:r w:rsidRPr="00C07C71">
              <w:rPr>
                <w:rFonts w:eastAsia="Times New Roman"/>
                <w:color w:val="000000" w:themeColor="text1"/>
                <w:sz w:val="24"/>
                <w:lang w:val="pt-BR"/>
              </w:rPr>
              <w:t>,0 ponto)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C1E0" w14:textId="2F480A9C" w:rsidR="000E20CD" w:rsidRPr="00C07C71" w:rsidRDefault="000E20CD" w:rsidP="000E20CD">
            <w:pPr>
              <w:ind w:left="113" w:hanging="113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lang w:val="pt-BR"/>
              </w:rPr>
            </w:pPr>
          </w:p>
        </w:tc>
      </w:tr>
    </w:tbl>
    <w:p w14:paraId="6C5BF1D8" w14:textId="1E59D74B" w:rsidR="00CC5CF0" w:rsidRPr="005C3C31" w:rsidRDefault="00CC5CF0">
      <w:pPr>
        <w:rPr>
          <w:color w:val="FF0000"/>
          <w:lang w:val="pt-BR"/>
        </w:rPr>
      </w:pPr>
    </w:p>
    <w:bookmarkEnd w:id="0"/>
    <w:p w14:paraId="330829E5" w14:textId="77777777" w:rsidR="00CC5CF0" w:rsidRPr="000E20CD" w:rsidRDefault="00CC5CF0" w:rsidP="000E20CD">
      <w:pPr>
        <w:rPr>
          <w:color w:val="FF0000"/>
          <w:lang w:val="pt-BR"/>
        </w:rPr>
      </w:pPr>
    </w:p>
    <w:sectPr w:rsidR="00CC5CF0" w:rsidRPr="000E20CD">
      <w:pgSz w:w="11909" w:h="16838"/>
      <w:pgMar w:top="760" w:right="1265" w:bottom="165" w:left="15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25D4"/>
    <w:multiLevelType w:val="multilevel"/>
    <w:tmpl w:val="D82C900E"/>
    <w:lvl w:ilvl="0">
      <w:start w:val="3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540FEC"/>
    <w:multiLevelType w:val="multilevel"/>
    <w:tmpl w:val="0DA4BE7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4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AA5520"/>
    <w:multiLevelType w:val="hybridMultilevel"/>
    <w:tmpl w:val="A2C25E46"/>
    <w:lvl w:ilvl="0" w:tplc="F2C61D62">
      <w:start w:val="4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47345EC4"/>
    <w:multiLevelType w:val="multilevel"/>
    <w:tmpl w:val="8EC45784"/>
    <w:lvl w:ilvl="0">
      <w:start w:val="1"/>
      <w:numFmt w:val="upperRoman"/>
      <w:lvlText w:val="%1-"/>
      <w:lvlJc w:val="left"/>
      <w:pPr>
        <w:tabs>
          <w:tab w:val="decimal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-9"/>
        <w:w w:val="100"/>
        <w:sz w:val="24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7631AA"/>
    <w:multiLevelType w:val="multilevel"/>
    <w:tmpl w:val="13307BD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324942"/>
    <w:multiLevelType w:val="multilevel"/>
    <w:tmpl w:val="D82C900E"/>
    <w:lvl w:ilvl="0">
      <w:start w:val="3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1A5F64"/>
    <w:multiLevelType w:val="multilevel"/>
    <w:tmpl w:val="870C72C2"/>
    <w:lvl w:ilvl="0">
      <w:start w:val="1"/>
      <w:numFmt w:val="decimal"/>
      <w:lvlText w:val="%1-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9E0934"/>
    <w:multiLevelType w:val="multilevel"/>
    <w:tmpl w:val="854C3458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AD"/>
    <w:rsid w:val="00003E43"/>
    <w:rsid w:val="000E20CD"/>
    <w:rsid w:val="000F1138"/>
    <w:rsid w:val="000F2CD0"/>
    <w:rsid w:val="00101DCE"/>
    <w:rsid w:val="001177B0"/>
    <w:rsid w:val="00157087"/>
    <w:rsid w:val="0016017B"/>
    <w:rsid w:val="001668D5"/>
    <w:rsid w:val="0018719E"/>
    <w:rsid w:val="001F60FD"/>
    <w:rsid w:val="002147F8"/>
    <w:rsid w:val="002358AD"/>
    <w:rsid w:val="002B5A56"/>
    <w:rsid w:val="002C7280"/>
    <w:rsid w:val="002F24BC"/>
    <w:rsid w:val="002F7C0D"/>
    <w:rsid w:val="00317D55"/>
    <w:rsid w:val="00374C8A"/>
    <w:rsid w:val="003D23D3"/>
    <w:rsid w:val="004303BD"/>
    <w:rsid w:val="004D7463"/>
    <w:rsid w:val="004E1451"/>
    <w:rsid w:val="004E186F"/>
    <w:rsid w:val="00524D7C"/>
    <w:rsid w:val="0053057A"/>
    <w:rsid w:val="005463FE"/>
    <w:rsid w:val="00553C58"/>
    <w:rsid w:val="00562AD0"/>
    <w:rsid w:val="00590858"/>
    <w:rsid w:val="005C3C31"/>
    <w:rsid w:val="005E7DF6"/>
    <w:rsid w:val="0061254A"/>
    <w:rsid w:val="00613CF7"/>
    <w:rsid w:val="00623629"/>
    <w:rsid w:val="00640282"/>
    <w:rsid w:val="0068707E"/>
    <w:rsid w:val="00694A1A"/>
    <w:rsid w:val="00707E59"/>
    <w:rsid w:val="00714130"/>
    <w:rsid w:val="00730443"/>
    <w:rsid w:val="007729BA"/>
    <w:rsid w:val="007B39CA"/>
    <w:rsid w:val="007B65AA"/>
    <w:rsid w:val="007C41B2"/>
    <w:rsid w:val="007E497C"/>
    <w:rsid w:val="00825D5F"/>
    <w:rsid w:val="00827B97"/>
    <w:rsid w:val="008B15F9"/>
    <w:rsid w:val="008D2784"/>
    <w:rsid w:val="008D74B1"/>
    <w:rsid w:val="0093730F"/>
    <w:rsid w:val="009865EF"/>
    <w:rsid w:val="009E5230"/>
    <w:rsid w:val="00A257DC"/>
    <w:rsid w:val="00AA4D2A"/>
    <w:rsid w:val="00AB3A09"/>
    <w:rsid w:val="00AB40F1"/>
    <w:rsid w:val="00AF3AF3"/>
    <w:rsid w:val="00B52EC2"/>
    <w:rsid w:val="00BE2D5D"/>
    <w:rsid w:val="00BF6D59"/>
    <w:rsid w:val="00C029DD"/>
    <w:rsid w:val="00C56997"/>
    <w:rsid w:val="00C60B27"/>
    <w:rsid w:val="00C727E2"/>
    <w:rsid w:val="00C753F8"/>
    <w:rsid w:val="00CA1FF3"/>
    <w:rsid w:val="00CC1178"/>
    <w:rsid w:val="00CC4CE7"/>
    <w:rsid w:val="00CC5CF0"/>
    <w:rsid w:val="00D33326"/>
    <w:rsid w:val="00D609FC"/>
    <w:rsid w:val="00DB7BD5"/>
    <w:rsid w:val="00DC1308"/>
    <w:rsid w:val="00E02435"/>
    <w:rsid w:val="00E35FCD"/>
    <w:rsid w:val="00E54BA9"/>
    <w:rsid w:val="00E643EB"/>
    <w:rsid w:val="00E83982"/>
    <w:rsid w:val="00EF0E80"/>
    <w:rsid w:val="00EF4C92"/>
    <w:rsid w:val="00F200AD"/>
    <w:rsid w:val="00F22B87"/>
    <w:rsid w:val="00F512B2"/>
    <w:rsid w:val="00F63B05"/>
    <w:rsid w:val="00F77ABB"/>
    <w:rsid w:val="00F86182"/>
    <w:rsid w:val="00FB3245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8E66"/>
  <w15:docId w15:val="{E9C77312-9536-48C3-9D5F-6BF3F85E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6D5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908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9085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373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730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73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73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730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3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30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B3245"/>
  </w:style>
  <w:style w:type="paragraph" w:styleId="NormalWeb">
    <w:name w:val="Normal (Web)"/>
    <w:basedOn w:val="Normal"/>
    <w:uiPriority w:val="99"/>
    <w:semiHidden/>
    <w:unhideWhenUsed/>
    <w:rsid w:val="00D33326"/>
    <w:pPr>
      <w:spacing w:before="100" w:beforeAutospacing="1" w:after="100" w:afterAutospacing="1"/>
    </w:pPr>
    <w:rPr>
      <w:rFonts w:eastAsia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Alfeu</dc:creator>
  <cp:lastModifiedBy>User</cp:lastModifiedBy>
  <cp:revision>3</cp:revision>
  <dcterms:created xsi:type="dcterms:W3CDTF">2021-07-13T16:55:00Z</dcterms:created>
  <dcterms:modified xsi:type="dcterms:W3CDTF">2021-07-13T19:39:00Z</dcterms:modified>
</cp:coreProperties>
</file>