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29.710464477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680085" cy="68008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5181600</wp:posOffset>
            </wp:positionH>
            <wp:positionV relativeFrom="paragraph">
              <wp:posOffset>28575</wp:posOffset>
            </wp:positionV>
            <wp:extent cx="850265" cy="680085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80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98.9087677001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Universidade Federal de Alfenas - UNIFAL-MG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33154296875" w:line="240" w:lineRule="auto"/>
        <w:ind w:left="3163.307266235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Pró-Reitoria de Pesquisa e Pós-Graduação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1.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FREQUÊNCIA DE BOLSISTA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 à 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Modalidade: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7.718505859375" w:line="343.8621139526367" w:lineRule="auto"/>
        <w:ind w:left="0" w:right="-4.000244140625" w:firstLine="705.83992004394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os devidos fins, que o bolsista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obteve frequência integral e cumpriu com todas as atividades planejadas referente ao mês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9.2596435546875" w:line="240" w:lineRule="auto"/>
        <w:ind w:left="0" w:right="55.9997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Poços de Caldas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5.119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(a):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.72009277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300476074218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Comissão de Bolsas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Pós-Graduação em Física</w:t>
      </w:r>
    </w:p>
    <w:sectPr>
      <w:pgSz w:h="16820" w:w="11900" w:orient="portrait"/>
      <w:pgMar w:bottom="2882.7999877929688" w:top="695.999755859375" w:left="1086.4800262451172" w:right="101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